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B9" w:rsidRPr="005C2F85" w:rsidRDefault="00940CB9" w:rsidP="00940CB9">
      <w:pPr>
        <w:spacing w:line="580" w:lineRule="exact"/>
        <w:jc w:val="center"/>
        <w:rPr>
          <w:rFonts w:ascii="Times New Roman" w:eastAsia="方正仿宋_GBK" w:hAnsi="Times New Roman" w:hint="eastAsia"/>
          <w:sz w:val="44"/>
          <w:szCs w:val="44"/>
        </w:rPr>
      </w:pPr>
    </w:p>
    <w:p w:rsidR="00940CB9" w:rsidRPr="005C2F85" w:rsidRDefault="00940CB9" w:rsidP="00940CB9">
      <w:pPr>
        <w:spacing w:line="580" w:lineRule="exact"/>
        <w:jc w:val="center"/>
        <w:rPr>
          <w:rFonts w:ascii="Times New Roman" w:eastAsia="方正仿宋_GBK" w:hAnsi="Times New Roman"/>
          <w:sz w:val="44"/>
          <w:szCs w:val="44"/>
        </w:rPr>
      </w:pPr>
    </w:p>
    <w:p w:rsidR="00940CB9" w:rsidRPr="005C2F85" w:rsidRDefault="00940CB9" w:rsidP="00940CB9">
      <w:pPr>
        <w:spacing w:line="580" w:lineRule="exact"/>
        <w:jc w:val="center"/>
        <w:rPr>
          <w:rFonts w:ascii="Times New Roman" w:eastAsia="方正仿宋_GBK" w:hAnsi="Times New Roman"/>
          <w:sz w:val="44"/>
          <w:szCs w:val="44"/>
        </w:rPr>
      </w:pPr>
    </w:p>
    <w:p w:rsidR="00940CB9" w:rsidRPr="005C2F85" w:rsidRDefault="00940CB9" w:rsidP="00940CB9">
      <w:pPr>
        <w:spacing w:line="40" w:lineRule="exact"/>
        <w:jc w:val="center"/>
        <w:rPr>
          <w:rFonts w:ascii="Times New Roman" w:eastAsia="方正仿宋_GBK" w:hAnsi="Times New Roman"/>
          <w:sz w:val="44"/>
          <w:szCs w:val="44"/>
        </w:rPr>
      </w:pPr>
    </w:p>
    <w:p w:rsidR="00940CB9" w:rsidRPr="005C2F85" w:rsidRDefault="00940CB9" w:rsidP="00940CB9">
      <w:pPr>
        <w:spacing w:line="240" w:lineRule="exact"/>
        <w:rPr>
          <w:rFonts w:ascii="Times New Roman" w:eastAsia="方正仿宋_GBK" w:hAnsi="Times New Roman"/>
          <w:sz w:val="44"/>
          <w:szCs w:val="44"/>
        </w:rPr>
      </w:pPr>
    </w:p>
    <w:p w:rsidR="00940CB9" w:rsidRPr="005C2F85" w:rsidRDefault="00940CB9" w:rsidP="00940CB9">
      <w:pPr>
        <w:spacing w:line="240" w:lineRule="exact"/>
        <w:rPr>
          <w:rFonts w:ascii="Times New Roman" w:eastAsia="方正仿宋_GBK" w:hAnsi="Times New Roman"/>
          <w:sz w:val="44"/>
          <w:szCs w:val="44"/>
        </w:rPr>
      </w:pPr>
    </w:p>
    <w:p w:rsidR="00940CB9" w:rsidRPr="005C2F85" w:rsidRDefault="00940CB9" w:rsidP="00940CB9">
      <w:pPr>
        <w:spacing w:line="580" w:lineRule="exact"/>
        <w:jc w:val="center"/>
        <w:rPr>
          <w:rFonts w:ascii="Times New Roman" w:eastAsia="方正仿宋_GBK" w:hAnsi="Times New Roman"/>
          <w:sz w:val="32"/>
          <w:szCs w:val="32"/>
        </w:rPr>
      </w:pPr>
      <w:proofErr w:type="gramStart"/>
      <w:r w:rsidRPr="005C2F85">
        <w:rPr>
          <w:rFonts w:ascii="Times New Roman" w:eastAsia="方正仿宋_GBK" w:hAnsi="Times New Roman" w:hint="eastAsia"/>
          <w:sz w:val="32"/>
          <w:szCs w:val="32"/>
        </w:rPr>
        <w:t>宿</w:t>
      </w:r>
      <w:proofErr w:type="gramEnd"/>
      <w:r w:rsidRPr="005C2F85">
        <w:rPr>
          <w:rFonts w:ascii="Times New Roman" w:eastAsia="方正仿宋_GBK" w:hAnsi="Times New Roman" w:hint="eastAsia"/>
          <w:sz w:val="32"/>
          <w:szCs w:val="32"/>
        </w:rPr>
        <w:t>城管发〔</w:t>
      </w:r>
      <w:r w:rsidRPr="005C2F85">
        <w:rPr>
          <w:rFonts w:ascii="Times New Roman" w:eastAsia="方正仿宋_GBK" w:hAnsi="Times New Roman"/>
          <w:sz w:val="32"/>
          <w:szCs w:val="32"/>
        </w:rPr>
        <w:t>20</w:t>
      </w:r>
      <w:r w:rsidRPr="005C2F85">
        <w:rPr>
          <w:rFonts w:ascii="Times New Roman" w:eastAsia="方正仿宋_GBK" w:hAnsi="Times New Roman" w:hint="eastAsia"/>
          <w:sz w:val="32"/>
          <w:szCs w:val="32"/>
        </w:rPr>
        <w:t>20</w:t>
      </w:r>
      <w:r w:rsidRPr="005C2F85">
        <w:rPr>
          <w:rFonts w:ascii="Times New Roman" w:eastAsia="方正仿宋_GBK" w:hAnsi="Times New Roman" w:hint="eastAsia"/>
          <w:sz w:val="32"/>
          <w:szCs w:val="32"/>
        </w:rPr>
        <w:t>〕</w:t>
      </w:r>
      <w:r w:rsidR="003F734D">
        <w:rPr>
          <w:rFonts w:ascii="Times New Roman" w:eastAsia="方正仿宋_GBK" w:hAnsi="Times New Roman" w:hint="eastAsia"/>
          <w:sz w:val="32"/>
          <w:szCs w:val="32"/>
        </w:rPr>
        <w:t>36</w:t>
      </w:r>
      <w:r w:rsidRPr="005C2F85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940CB9" w:rsidRPr="005C2F85" w:rsidRDefault="00940CB9" w:rsidP="00940CB9">
      <w:pPr>
        <w:spacing w:line="560" w:lineRule="exact"/>
        <w:ind w:leftChars="76" w:left="160"/>
        <w:jc w:val="center"/>
        <w:rPr>
          <w:rFonts w:ascii="Times New Roman" w:eastAsia="方正仿宋_GBK" w:hAnsi="Times New Roman"/>
          <w:bCs/>
          <w:kern w:val="0"/>
          <w:sz w:val="44"/>
          <w:szCs w:val="44"/>
        </w:rPr>
      </w:pPr>
    </w:p>
    <w:p w:rsidR="00940CB9" w:rsidRPr="005C2F85" w:rsidRDefault="00940CB9" w:rsidP="00940CB9">
      <w:pPr>
        <w:spacing w:line="560" w:lineRule="exact"/>
        <w:ind w:leftChars="76" w:left="160"/>
        <w:jc w:val="center"/>
        <w:rPr>
          <w:rFonts w:ascii="Times New Roman" w:eastAsia="方正仿宋_GBK" w:hAnsi="Times New Roman"/>
          <w:bCs/>
          <w:kern w:val="0"/>
          <w:sz w:val="44"/>
          <w:szCs w:val="44"/>
        </w:rPr>
      </w:pPr>
    </w:p>
    <w:p w:rsidR="007658C6" w:rsidRPr="00561CCC" w:rsidRDefault="0096595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561CCC">
        <w:rPr>
          <w:rFonts w:ascii="Times New Roman" w:eastAsia="方正小标宋_GBK" w:hAnsi="Times New Roman" w:cs="Times New Roman"/>
          <w:bCs/>
          <w:sz w:val="44"/>
          <w:szCs w:val="44"/>
        </w:rPr>
        <w:t>宿迁市城市管理局</w:t>
      </w:r>
    </w:p>
    <w:p w:rsidR="00E57058" w:rsidRPr="00561CCC" w:rsidRDefault="00E57058" w:rsidP="00E57058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561CCC">
        <w:rPr>
          <w:rFonts w:ascii="Times New Roman" w:eastAsia="方正小标宋_GBK" w:hAnsi="Times New Roman" w:cs="Times New Roman"/>
          <w:bCs/>
          <w:sz w:val="44"/>
          <w:szCs w:val="44"/>
        </w:rPr>
        <w:t>关于印发《宿迁市市区工程渣土管理消纳安全管理办法（试行）》的通知</w:t>
      </w:r>
    </w:p>
    <w:p w:rsidR="00E57058" w:rsidRPr="00561CCC" w:rsidRDefault="00E57058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E57058" w:rsidRPr="00561CCC" w:rsidRDefault="00E57058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各区城管</w:t>
      </w:r>
      <w:r w:rsidR="009A5CF5" w:rsidRPr="00561CCC">
        <w:rPr>
          <w:rFonts w:ascii="Times New Roman" w:eastAsia="方正仿宋_GBK" w:hAnsi="Times New Roman" w:cs="Times New Roman"/>
          <w:bCs/>
          <w:sz w:val="32"/>
          <w:szCs w:val="32"/>
        </w:rPr>
        <w:t>局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（分</w:t>
      </w:r>
      <w:r w:rsidR="009A5CF5" w:rsidRPr="00561CCC">
        <w:rPr>
          <w:rFonts w:ascii="Times New Roman" w:eastAsia="方正仿宋_GBK" w:hAnsi="Times New Roman" w:cs="Times New Roman"/>
          <w:bCs/>
          <w:sz w:val="32"/>
          <w:szCs w:val="32"/>
        </w:rPr>
        <w:t>局</w:t>
      </w:r>
      <w:r w:rsidR="00862181" w:rsidRPr="00561CCC"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 w:rsidR="00561CCC" w:rsidRPr="00561CCC">
        <w:rPr>
          <w:rFonts w:ascii="Times New Roman" w:eastAsia="方正仿宋_GBK" w:hAnsi="Times New Roman" w:cs="Times New Roman"/>
          <w:bCs/>
          <w:sz w:val="32"/>
          <w:szCs w:val="32"/>
        </w:rPr>
        <w:t>综合执法局、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综合</w:t>
      </w:r>
      <w:r w:rsidR="009A5CF5" w:rsidRPr="00561CCC">
        <w:rPr>
          <w:rFonts w:ascii="Times New Roman" w:eastAsia="方正仿宋_GBK" w:hAnsi="Times New Roman" w:cs="Times New Roman"/>
          <w:bCs/>
          <w:sz w:val="32"/>
          <w:szCs w:val="32"/>
        </w:rPr>
        <w:t>行政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执法局</w:t>
      </w:r>
      <w:r w:rsidR="001E711B" w:rsidRPr="00561CCC"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  <w:r w:rsidR="00862181" w:rsidRPr="00561CCC">
        <w:rPr>
          <w:rFonts w:ascii="Times New Roman" w:eastAsia="方正仿宋_GBK" w:hAnsi="Times New Roman" w:cs="Times New Roman"/>
          <w:bCs/>
          <w:sz w:val="32"/>
          <w:szCs w:val="32"/>
        </w:rPr>
        <w:t>，局</w:t>
      </w:r>
      <w:r w:rsidR="009A5CF5" w:rsidRPr="00561CCC">
        <w:rPr>
          <w:rFonts w:ascii="Times New Roman" w:eastAsia="方正仿宋_GBK" w:hAnsi="Times New Roman" w:cs="Times New Roman"/>
          <w:bCs/>
          <w:sz w:val="32"/>
          <w:szCs w:val="32"/>
        </w:rPr>
        <w:t>属各</w:t>
      </w:r>
      <w:r w:rsidR="005D0F6F" w:rsidRPr="00561CCC">
        <w:rPr>
          <w:rFonts w:ascii="Times New Roman" w:eastAsia="方正仿宋_GBK" w:hAnsi="Times New Roman" w:cs="Times New Roman"/>
          <w:bCs/>
          <w:sz w:val="32"/>
          <w:szCs w:val="32"/>
        </w:rPr>
        <w:t>相关</w:t>
      </w:r>
      <w:r w:rsidR="009A5CF5" w:rsidRPr="00561CCC">
        <w:rPr>
          <w:rFonts w:ascii="Times New Roman" w:eastAsia="方正仿宋_GBK" w:hAnsi="Times New Roman" w:cs="Times New Roman"/>
          <w:bCs/>
          <w:sz w:val="32"/>
          <w:szCs w:val="32"/>
        </w:rPr>
        <w:t>单位、处室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</w:p>
    <w:p w:rsidR="00E57058" w:rsidRPr="00561CCC" w:rsidRDefault="00E57058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CCC">
        <w:rPr>
          <w:rFonts w:ascii="Times New Roman" w:eastAsia="方正仿宋_GBK" w:hAnsi="Times New Roman" w:cs="Times New Roman"/>
          <w:sz w:val="32"/>
          <w:szCs w:val="32"/>
        </w:rPr>
        <w:t>为了加强渣土消纳场的安全管理工作，落实企业安全生产主体责任，防止和减少生产安全事故的发生，保障渣土消</w:t>
      </w:r>
      <w:proofErr w:type="gramStart"/>
      <w:r w:rsidRPr="00561CCC">
        <w:rPr>
          <w:rFonts w:ascii="Times New Roman" w:eastAsia="方正仿宋_GBK" w:hAnsi="Times New Roman" w:cs="Times New Roman"/>
          <w:sz w:val="32"/>
          <w:szCs w:val="32"/>
        </w:rPr>
        <w:t>纳工作</w:t>
      </w:r>
      <w:proofErr w:type="gramEnd"/>
      <w:r w:rsidRPr="00561CCC">
        <w:rPr>
          <w:rFonts w:ascii="Times New Roman" w:eastAsia="方正仿宋_GBK" w:hAnsi="Times New Roman" w:cs="Times New Roman"/>
          <w:sz w:val="32"/>
          <w:szCs w:val="32"/>
        </w:rPr>
        <w:t>正常开展和人民群众生命财产安全。现将《宿迁市市区工程渣土管理消纳安全管理办法（试行）》印发给你们，请结合实际，认真贯彻执行。</w:t>
      </w:r>
    </w:p>
    <w:p w:rsidR="00E57058" w:rsidRPr="00561CCC" w:rsidRDefault="00E57058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ind w:firstLine="636"/>
        <w:rPr>
          <w:rFonts w:ascii="Times New Roman" w:eastAsia="方正仿宋_GBK" w:hAnsi="Times New Roman" w:cs="Times New Roman"/>
          <w:sz w:val="32"/>
          <w:szCs w:val="32"/>
        </w:rPr>
      </w:pPr>
    </w:p>
    <w:p w:rsidR="00E57058" w:rsidRPr="00561CCC" w:rsidRDefault="00E57058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ind w:firstLine="636"/>
        <w:rPr>
          <w:rFonts w:ascii="Times New Roman" w:eastAsia="方正仿宋_GBK" w:hAnsi="Times New Roman" w:cs="Times New Roman"/>
          <w:sz w:val="32"/>
          <w:szCs w:val="32"/>
        </w:rPr>
      </w:pPr>
      <w:r w:rsidRPr="00561CCC">
        <w:rPr>
          <w:rFonts w:ascii="Times New Roman" w:eastAsia="方正仿宋_GBK" w:hAnsi="Times New Roman" w:cs="Times New Roman"/>
          <w:sz w:val="32"/>
          <w:szCs w:val="32"/>
        </w:rPr>
        <w:t>附件：宿迁市市区工程渣土管理消纳安全管理办法（试行）</w:t>
      </w:r>
    </w:p>
    <w:p w:rsidR="00E57058" w:rsidRPr="00561CCC" w:rsidRDefault="00E57058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ind w:firstLine="636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7658C6" w:rsidRPr="00561CCC" w:rsidRDefault="00561CCC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            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宿迁市城市管理局</w:t>
      </w:r>
    </w:p>
    <w:p w:rsidR="00561CCC" w:rsidRPr="00561CCC" w:rsidRDefault="00561CCC" w:rsidP="003F734D">
      <w:pPr>
        <w:pStyle w:val="a3"/>
        <w:widowControl w:val="0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            2020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11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="003F734D">
        <w:rPr>
          <w:rFonts w:ascii="Times New Roman" w:eastAsia="方正仿宋_GBK" w:hAnsi="Times New Roman" w:cs="Times New Roman" w:hint="eastAsia"/>
          <w:bCs/>
          <w:sz w:val="32"/>
          <w:szCs w:val="32"/>
        </w:rPr>
        <w:t>25</w:t>
      </w:r>
      <w:r w:rsidRPr="00561CCC"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</w:p>
    <w:p w:rsidR="003F734D" w:rsidRDefault="003F734D" w:rsidP="003F734D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rPr>
          <w:rFonts w:ascii="方正黑体_GBK" w:eastAsia="方正黑体_GBK" w:hAnsi="Times New Roman" w:cs="方正小标宋_GBK" w:hint="eastAsia"/>
          <w:bCs/>
          <w:sz w:val="32"/>
          <w:szCs w:val="32"/>
        </w:rPr>
      </w:pPr>
      <w:r>
        <w:rPr>
          <w:rFonts w:ascii="方正黑体_GBK" w:eastAsia="方正黑体_GBK" w:hAnsi="Times New Roman" w:cs="方正小标宋_GBK" w:hint="eastAsia"/>
          <w:bCs/>
          <w:sz w:val="32"/>
          <w:szCs w:val="32"/>
        </w:rPr>
        <w:t xml:space="preserve">  </w:t>
      </w:r>
      <w:r w:rsidRPr="003F734D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3F734D"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:rsidR="003F734D" w:rsidRPr="003F734D" w:rsidRDefault="003F734D" w:rsidP="003F734D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rPr>
          <w:rFonts w:ascii="方正黑体_GBK" w:eastAsia="方正黑体_GBK" w:hAnsi="Times New Roman" w:cs="方正小标宋_GBK" w:hint="eastAsia"/>
          <w:bCs/>
          <w:sz w:val="32"/>
          <w:szCs w:val="32"/>
        </w:rPr>
      </w:pPr>
      <w:r w:rsidRPr="003F734D">
        <w:rPr>
          <w:rFonts w:ascii="方正黑体_GBK" w:eastAsia="方正黑体_GBK" w:hAnsi="Times New Roman" w:cs="方正小标宋_GBK" w:hint="eastAsia"/>
          <w:bCs/>
          <w:sz w:val="32"/>
          <w:szCs w:val="32"/>
        </w:rPr>
        <w:lastRenderedPageBreak/>
        <w:t>附件</w:t>
      </w:r>
    </w:p>
    <w:p w:rsidR="00DF5DFD" w:rsidRPr="009F7D88" w:rsidRDefault="00DF5DFD" w:rsidP="009F7D88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eastAsia="方正小标宋_GBK" w:hAnsi="Times New Roman" w:cs="Times New Roman"/>
          <w:w w:val="96"/>
          <w:sz w:val="44"/>
          <w:szCs w:val="44"/>
        </w:rPr>
      </w:pPr>
      <w:r w:rsidRPr="009F7D88">
        <w:rPr>
          <w:rFonts w:ascii="Times New Roman" w:eastAsia="方正小标宋_GBK" w:hAnsi="Times New Roman" w:cs="方正小标宋_GBK" w:hint="eastAsia"/>
          <w:bCs/>
          <w:w w:val="96"/>
          <w:sz w:val="44"/>
          <w:szCs w:val="44"/>
        </w:rPr>
        <w:t>宿迁市</w:t>
      </w:r>
      <w:r w:rsidR="00882693" w:rsidRPr="009F7D88">
        <w:rPr>
          <w:rFonts w:ascii="Times New Roman" w:eastAsia="方正小标宋_GBK" w:hAnsi="Times New Roman" w:cs="方正小标宋_GBK" w:hint="eastAsia"/>
          <w:bCs/>
          <w:w w:val="96"/>
          <w:sz w:val="44"/>
          <w:szCs w:val="44"/>
        </w:rPr>
        <w:t>市区</w:t>
      </w:r>
      <w:r w:rsidRPr="009F7D88">
        <w:rPr>
          <w:rFonts w:ascii="Times New Roman" w:eastAsia="方正小标宋_GBK" w:hAnsi="Times New Roman" w:cs="方正小标宋_GBK" w:hint="eastAsia"/>
          <w:bCs/>
          <w:w w:val="96"/>
          <w:sz w:val="44"/>
          <w:szCs w:val="44"/>
        </w:rPr>
        <w:t>工程渣土消纳场安全管理办法</w:t>
      </w:r>
      <w:r w:rsidRPr="009F7D88">
        <w:rPr>
          <w:rFonts w:ascii="Times New Roman" w:eastAsia="方正小标宋_GBK" w:hAnsi="Times New Roman" w:cs="Times New Roman" w:hint="eastAsia"/>
          <w:w w:val="96"/>
          <w:sz w:val="44"/>
          <w:szCs w:val="44"/>
        </w:rPr>
        <w:t>（</w:t>
      </w:r>
      <w:r w:rsidR="00FC68D3" w:rsidRPr="009F7D88">
        <w:rPr>
          <w:rFonts w:ascii="Times New Roman" w:eastAsia="方正小标宋_GBK" w:hAnsi="Times New Roman" w:cs="Times New Roman" w:hint="eastAsia"/>
          <w:w w:val="96"/>
          <w:sz w:val="44"/>
          <w:szCs w:val="44"/>
        </w:rPr>
        <w:t>试行</w:t>
      </w:r>
      <w:r w:rsidRPr="009F7D88">
        <w:rPr>
          <w:rFonts w:ascii="Times New Roman" w:eastAsia="方正小标宋_GBK" w:hAnsi="Times New Roman" w:cs="Times New Roman" w:hint="eastAsia"/>
          <w:w w:val="96"/>
          <w:sz w:val="44"/>
          <w:szCs w:val="44"/>
        </w:rPr>
        <w:t>）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693" w:firstLine="3049"/>
        <w:jc w:val="center"/>
        <w:rPr>
          <w:rFonts w:ascii="Times New Roman" w:eastAsia="仿宋" w:hAnsi="Times New Roman"/>
          <w:sz w:val="44"/>
          <w:szCs w:val="44"/>
        </w:rPr>
      </w:pP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第一条</w:t>
      </w:r>
      <w:r w:rsid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为了加强</w:t>
      </w:r>
      <w:r w:rsidR="00882693">
        <w:rPr>
          <w:rFonts w:ascii="Times New Roman" w:eastAsia="方正仿宋_GBK" w:hAnsi="Times New Roman" w:cs="方正仿宋_GBK" w:hint="eastAsia"/>
          <w:sz w:val="32"/>
          <w:szCs w:val="32"/>
        </w:rPr>
        <w:t>市区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工程渣土消纳场的安全监督管理，防止和减少生产安全事故的发生，保障人民群众生命和财产安全，推进渣土管理高质量发展。根据《中华人民共和国安全生产法》、《江苏省安全生产条例》等有关法律、法规，结合我市实际，制定本管理办法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第二条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坚持“管行业必须管安全、管业务必须管安全、管生产必须管安全”的要求，压实“一岗双责”责任，生产要服从安全的需要，实现安全生产、文明生产。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第三条</w:t>
      </w:r>
      <w:r w:rsidR="00A657BF" w:rsidRP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本办法适用于宿迁市</w:t>
      </w:r>
      <w:r w:rsidR="008B335C">
        <w:rPr>
          <w:rFonts w:ascii="Times New Roman" w:eastAsia="方正仿宋_GBK" w:hAnsi="Times New Roman" w:cs="方正仿宋_GBK" w:hint="eastAsia"/>
          <w:sz w:val="32"/>
          <w:szCs w:val="32"/>
        </w:rPr>
        <w:t>市区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在用工程渣土消纳场的安全管理。重点是工程渣土消纳场、渣土临时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调剂场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以及建筑（拆迁）垃圾堆放场（包含建筑垃圾资源化利用厂里的堆场）、装潢垃圾消纳场的安全管理。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第四条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按照“谁主管，谁负责”、“谁审批，谁负责”的原则，审批单位负责辖区内渣土消纳场的安全生产监督管理工作。督促落实企业安全生产主体责任，健全渣土消纳场安全生产责任体系。渣土消纳场运营管理单位是安全管理的责任主体，负责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实施本消纳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场的安全管理工作。。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b/>
          <w:bCs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第五条</w:t>
      </w:r>
      <w:r w:rsid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8B335C">
        <w:rPr>
          <w:rFonts w:ascii="Times New Roman" w:eastAsia="方正仿宋_GBK" w:hAnsi="Times New Roman" w:cs="方正仿宋_GBK" w:hint="eastAsia"/>
          <w:sz w:val="32"/>
          <w:szCs w:val="32"/>
        </w:rPr>
        <w:t>市城市管理局负责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市</w:t>
      </w:r>
      <w:r w:rsidR="008B335C">
        <w:rPr>
          <w:rFonts w:ascii="Times New Roman" w:eastAsia="方正仿宋_GBK" w:hAnsi="Times New Roman" w:cs="方正仿宋_GBK" w:hint="eastAsia"/>
          <w:sz w:val="32"/>
          <w:szCs w:val="32"/>
        </w:rPr>
        <w:t>区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工程渣土消纳场的备案登记；各区城市管理局（综合执法局）负责工程渣土消纳场的选址、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审批和管理；乡镇、街道办负责工程渣土消纳场的建设、日常运营和安全管理。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第六条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根据《城市建筑垃圾管理规定》第七条与《建设部关于纳入国务院决定的十五项行政许可的条件的规定》第四项要求，工程渣土消纳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场办理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备案登记手续时应提交安全管理制度及相关措施的证明材料。</w:t>
      </w:r>
    </w:p>
    <w:p w:rsidR="00DF5DFD" w:rsidRPr="00A657BF" w:rsidRDefault="00DF5DFD" w:rsidP="00A657BF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第七条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规范工程渣土消纳场建设标准，达到“十要”标准：要有场地围墙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(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围挡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)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、要有硬化道路、要有冲洗设备、要有降尘设施、要能分类堆放、要有堆高限制、要能及时苫盖、要有管理人员、要有管理用房、要有管理制度。</w:t>
      </w:r>
    </w:p>
    <w:p w:rsidR="00DF5DFD" w:rsidRPr="00A657BF" w:rsidRDefault="00DF5DFD" w:rsidP="00A657BF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对工程渣土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临时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调剂场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等非正规渣土消纳场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</w:t>
      </w:r>
      <w:r w:rsidRPr="00A657BF">
        <w:rPr>
          <w:rFonts w:ascii="Times New Roman" w:eastAsia="方正仿宋_GBK" w:hAnsi="Times New Roman" w:cs="方正仿宋_GBK" w:hint="eastAsia"/>
          <w:bCs/>
          <w:sz w:val="32"/>
          <w:szCs w:val="32"/>
        </w:rPr>
        <w:t>运营管理单位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要落实场区安全警示牌、现场安全管理人员、硬化道路、限制堆料高度等措施。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</w:t>
      </w:r>
    </w:p>
    <w:p w:rsidR="00DF5DFD" w:rsidRPr="00A657BF" w:rsidRDefault="00DF5DFD" w:rsidP="00A657BF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第八条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生态修复、土地复垦、建设用土调剂等需要土方的，必须经属地政府和属地城管部门同意并出具相关证明，进一步强化属地安全监管责任。</w:t>
      </w:r>
    </w:p>
    <w:p w:rsidR="00DF5DFD" w:rsidRPr="00A657BF" w:rsidRDefault="00DF5DFD" w:rsidP="00A657BF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第九条</w:t>
      </w:r>
      <w:r w:rsidRPr="00A657BF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所有从渣土消纳场进出的车辆必须持证运输，杜绝无证处置，责任主体单位对进出车辆实行登记检查制度，禁止消纳生活垃圾、工业垃圾及有毒有害物品。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第十条</w:t>
      </w: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工程渣土堆填作业应按区分层压实，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保证堆体稳定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，禁止超高、超量、超范围堆填。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第十一条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消纳场区应实施封闭式管理，禁止无关人员进入；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确保安全护栏、安全警示标志完好无损。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第十二条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责任主体应按规定设置安全管理机构，配备与工作相适应的安全管理人员（可兼任），落实岗位责任制度和安全操作规程，并确保各项制度落实到位。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第十三条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责任主体依据《江苏省安全生产条例》建立日常管理台账，包括：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（一）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生产台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帐。主要记录消纳场每日消纳渣土的详细情况。包括建筑垃圾来源项目名称、时间、方量、车辆牌号等信息。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（二）安全生产宣传教育和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培训台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帐。包括：安全生产教育记录、安全生产宣传记录、安全生产培训记录。具体记录负责人、安全管理人员安全教育及培训考核情况（安全教育培训时间、地点、培训人、被培训人、教育培训内容等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)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（三）安全生产检查台帐。包括日常安全生产检查记录、专项整治检查记录。具体记录消纳场安全生产检查情况（每月一次大检查，每周一次常规检查，另外按照季节变化、节假日安排以及特殊作业要求，开展专项检查；记录检查时间、检查内容、检查人、检查出的问题、整改措施、完成时间等信息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)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（四）安全生产隐患排查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治理台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帐。包括：安全生产隐患排查记录及整改记录情况。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第十四条</w:t>
      </w:r>
      <w:r w:rsid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依据《江苏省安全生产条例》制定应急救援预案。编制各类突发事件、安全事故的应急预案，建立健全应急救援组织，落实应急救援装备和器材，定期组织实施救援演练。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lastRenderedPageBreak/>
        <w:t>第十五条</w:t>
      </w:r>
      <w:r w:rsid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依据《江苏省安全生产条例》建立事故报告制度。责任主体应当在事故发生后立即报告市、区城管部门和相关责任部门，同时采取有效救援措施防止发生灾害，并积极配合事故调查处理。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第十六条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渣土消纳场完成消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纳任务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后，应及时移交相关单位落实后续安全维护、生态恢复、土地利用开发等工作。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第十七条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 </w:t>
      </w:r>
      <w:r w:rsidR="00A657BF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各区城管局</w:t>
      </w:r>
      <w:r w:rsidRPr="00A657BF">
        <w:rPr>
          <w:rFonts w:ascii="Times New Roman" w:eastAsia="方正仿宋_GBK" w:hAnsi="Times New Roman" w:cs="Times New Roman" w:hint="eastAsia"/>
          <w:sz w:val="32"/>
          <w:szCs w:val="32"/>
        </w:rPr>
        <w:t>（综合执法局）</w:t>
      </w:r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负责渣土消纳场的日常安全监督与检查，市城管局对各区消纳</w:t>
      </w:r>
      <w:proofErr w:type="gramStart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场实行</w:t>
      </w:r>
      <w:proofErr w:type="gramEnd"/>
      <w:r w:rsidRPr="00A657BF">
        <w:rPr>
          <w:rFonts w:ascii="Times New Roman" w:eastAsia="方正仿宋_GBK" w:hAnsi="Times New Roman" w:cs="方正仿宋_GBK" w:hint="eastAsia"/>
          <w:sz w:val="32"/>
          <w:szCs w:val="32"/>
        </w:rPr>
        <w:t>定期检查、随机抽查。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方正仿宋_GBK"/>
          <w:bCs/>
          <w:kern w:val="2"/>
          <w:sz w:val="32"/>
          <w:szCs w:val="32"/>
          <w:shd w:val="clear" w:color="auto" w:fill="FFFFFF"/>
        </w:rPr>
      </w:pP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>第十八条</w:t>
      </w:r>
      <w:r w:rsidRP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="00A657BF">
        <w:rPr>
          <w:rFonts w:ascii="Times New Roman" w:eastAsia="方正黑体_GBK" w:hAnsi="Times New Roman" w:cs="方正仿宋_GBK" w:hint="eastAsia"/>
          <w:sz w:val="32"/>
          <w:szCs w:val="32"/>
        </w:rPr>
        <w:t xml:space="preserve"> </w:t>
      </w:r>
      <w:r w:rsidRPr="00A657BF">
        <w:rPr>
          <w:rFonts w:ascii="Times New Roman" w:eastAsia="方正仿宋_GBK" w:hAnsi="Times New Roman" w:cs="方正仿宋_GBK" w:hint="eastAsia"/>
          <w:bCs/>
          <w:kern w:val="2"/>
          <w:sz w:val="32"/>
          <w:szCs w:val="32"/>
          <w:shd w:val="clear" w:color="auto" w:fill="FFFFFF"/>
        </w:rPr>
        <w:t>本办法自印发之日起施行。</w:t>
      </w: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44"/>
          <w:szCs w:val="44"/>
        </w:rPr>
      </w:pPr>
      <w:r w:rsidRPr="00A657BF">
        <w:rPr>
          <w:rFonts w:ascii="Times New Roman" w:eastAsia="仿宋" w:hAnsi="Times New Roman" w:hint="eastAsia"/>
          <w:sz w:val="44"/>
          <w:szCs w:val="44"/>
        </w:rPr>
        <w:t> </w:t>
      </w:r>
    </w:p>
    <w:p w:rsidR="00DF5DFD" w:rsidRPr="00A657BF" w:rsidRDefault="00DF5DFD" w:rsidP="00A657BF">
      <w:pPr>
        <w:spacing w:line="560" w:lineRule="exact"/>
        <w:rPr>
          <w:rFonts w:ascii="Times New Roman" w:eastAsia="仿宋" w:hAnsi="Times New Roman"/>
          <w:sz w:val="44"/>
          <w:szCs w:val="44"/>
        </w:rPr>
      </w:pPr>
    </w:p>
    <w:p w:rsidR="00DF5DFD" w:rsidRPr="00A657BF" w:rsidRDefault="00DF5DFD" w:rsidP="00A657BF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657BF">
        <w:rPr>
          <w:rFonts w:ascii="Times New Roman" w:eastAsia="方正仿宋_GBK" w:hAnsi="Times New Roman" w:cs="Times New Roman"/>
          <w:b/>
          <w:sz w:val="32"/>
          <w:szCs w:val="32"/>
        </w:rPr>
        <w:t> </w:t>
      </w:r>
    </w:p>
    <w:p w:rsidR="00DF5DFD" w:rsidRPr="00A657BF" w:rsidRDefault="00DF5DFD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DFD" w:rsidRPr="00A657BF" w:rsidRDefault="00DF5DFD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DFD" w:rsidRPr="00A657BF" w:rsidRDefault="00DF5DFD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DFD" w:rsidRPr="00A657BF" w:rsidRDefault="00DF5DFD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657BF" w:rsidRPr="00A657BF" w:rsidRDefault="00A657BF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657BF" w:rsidRDefault="00A657BF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940CB9" w:rsidRPr="00A657BF" w:rsidRDefault="00940CB9" w:rsidP="00A657B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940CB9" w:rsidRPr="005C2F85" w:rsidRDefault="00940CB9" w:rsidP="00940CB9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071EFA" w:rsidRPr="00940CB9" w:rsidRDefault="0006654B" w:rsidP="00940CB9">
      <w:pPr>
        <w:spacing w:line="560" w:lineRule="exact"/>
        <w:ind w:firstLineChars="50" w:firstLine="14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noProof/>
          <w:sz w:val="28"/>
          <w:szCs w:val="28"/>
        </w:rPr>
        <w:pict>
          <v:line id="直线 2" o:spid="_x0000_s1026" style="position:absolute;left:0;text-align:left;z-index:251657216" from="0,5.2pt" to="450pt,5.2pt"/>
        </w:pict>
      </w:r>
      <w:r>
        <w:rPr>
          <w:rFonts w:ascii="Times New Roman" w:eastAsia="方正仿宋_GBK" w:hAnsi="Times New Roman"/>
          <w:noProof/>
          <w:sz w:val="28"/>
          <w:szCs w:val="28"/>
        </w:rPr>
        <w:pict>
          <v:line id="直线 3" o:spid="_x0000_s1027" style="position:absolute;left:0;text-align:left;z-index:251658240" from="0,36.4pt" to="450pt,36.4pt"/>
        </w:pict>
      </w:r>
      <w:r w:rsidR="00940CB9" w:rsidRPr="005C2F85">
        <w:rPr>
          <w:rFonts w:ascii="Times New Roman" w:eastAsia="方正仿宋_GBK" w:hAnsi="Times New Roman" w:hint="eastAsia"/>
          <w:sz w:val="28"/>
          <w:szCs w:val="28"/>
        </w:rPr>
        <w:t>宿迁市城市管理局办公室</w:t>
      </w:r>
      <w:r w:rsidR="00940CB9" w:rsidRPr="005C2F85">
        <w:rPr>
          <w:rFonts w:ascii="Times New Roman" w:eastAsia="方正仿宋_GBK" w:hAnsi="Times New Roman" w:hint="eastAsia"/>
          <w:sz w:val="28"/>
          <w:szCs w:val="28"/>
        </w:rPr>
        <w:t xml:space="preserve">                   2020</w:t>
      </w:r>
      <w:r w:rsidR="00940CB9" w:rsidRPr="005C2F85">
        <w:rPr>
          <w:rFonts w:ascii="Times New Roman" w:eastAsia="方正仿宋_GBK" w:hAnsi="Times New Roman" w:hint="eastAsia"/>
          <w:sz w:val="28"/>
          <w:szCs w:val="28"/>
        </w:rPr>
        <w:t>年</w:t>
      </w:r>
      <w:r w:rsidR="00940CB9" w:rsidRPr="005C2F85">
        <w:rPr>
          <w:rFonts w:ascii="Times New Roman" w:eastAsia="方正仿宋_GBK" w:hAnsi="Times New Roman" w:hint="eastAsia"/>
          <w:sz w:val="28"/>
          <w:szCs w:val="28"/>
        </w:rPr>
        <w:t>11</w:t>
      </w:r>
      <w:r w:rsidR="00940CB9" w:rsidRPr="005C2F85">
        <w:rPr>
          <w:rFonts w:ascii="Times New Roman" w:eastAsia="方正仿宋_GBK" w:hAnsi="Times New Roman" w:hint="eastAsia"/>
          <w:sz w:val="28"/>
          <w:szCs w:val="28"/>
        </w:rPr>
        <w:t>月</w:t>
      </w:r>
      <w:r w:rsidR="003F734D">
        <w:rPr>
          <w:rFonts w:ascii="Times New Roman" w:eastAsia="方正仿宋_GBK" w:hAnsi="Times New Roman" w:hint="eastAsia"/>
          <w:sz w:val="28"/>
          <w:szCs w:val="28"/>
        </w:rPr>
        <w:t>25</w:t>
      </w:r>
      <w:r w:rsidR="00940CB9" w:rsidRPr="005C2F85">
        <w:rPr>
          <w:rFonts w:ascii="Times New Roman" w:eastAsia="方正仿宋_GBK" w:hAnsi="Times New Roman" w:hint="eastAsia"/>
          <w:sz w:val="28"/>
          <w:szCs w:val="28"/>
        </w:rPr>
        <w:t>日印发</w:t>
      </w:r>
    </w:p>
    <w:sectPr w:rsidR="00071EFA" w:rsidRPr="00940CB9" w:rsidSect="00A657BF">
      <w:footerReference w:type="even" r:id="rId7"/>
      <w:footerReference w:type="default" r:id="rId8"/>
      <w:pgSz w:w="11906" w:h="16838"/>
      <w:pgMar w:top="2098" w:right="1531" w:bottom="192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4B" w:rsidRDefault="0006654B" w:rsidP="00A657BF">
      <w:r>
        <w:separator/>
      </w:r>
    </w:p>
  </w:endnote>
  <w:endnote w:type="continuationSeparator" w:id="0">
    <w:p w:rsidR="0006654B" w:rsidRDefault="0006654B" w:rsidP="00A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5020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657BF" w:rsidRPr="00A657BF" w:rsidRDefault="00962BA0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A657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657BF" w:rsidRPr="00A657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657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F7D88" w:rsidRPr="009F7D8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F7D8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A657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76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657BF" w:rsidRPr="00A657BF" w:rsidRDefault="00962BA0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A657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657BF" w:rsidRPr="00A657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657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F7D88" w:rsidRPr="009F7D8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F7D8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A657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4B" w:rsidRDefault="0006654B" w:rsidP="00A657BF">
      <w:r>
        <w:separator/>
      </w:r>
    </w:p>
  </w:footnote>
  <w:footnote w:type="continuationSeparator" w:id="0">
    <w:p w:rsidR="0006654B" w:rsidRDefault="0006654B" w:rsidP="00A6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DFD"/>
    <w:rsid w:val="00036800"/>
    <w:rsid w:val="0006654B"/>
    <w:rsid w:val="00071EFA"/>
    <w:rsid w:val="000938C5"/>
    <w:rsid w:val="000A093C"/>
    <w:rsid w:val="001B46DC"/>
    <w:rsid w:val="001E711B"/>
    <w:rsid w:val="00200C4E"/>
    <w:rsid w:val="00310CB8"/>
    <w:rsid w:val="00332FF1"/>
    <w:rsid w:val="0033750D"/>
    <w:rsid w:val="003F734D"/>
    <w:rsid w:val="00492645"/>
    <w:rsid w:val="00561CCC"/>
    <w:rsid w:val="00592C26"/>
    <w:rsid w:val="005D0F6F"/>
    <w:rsid w:val="006148FD"/>
    <w:rsid w:val="006F6C99"/>
    <w:rsid w:val="00757CD4"/>
    <w:rsid w:val="007658C6"/>
    <w:rsid w:val="00775237"/>
    <w:rsid w:val="007F7675"/>
    <w:rsid w:val="008165E6"/>
    <w:rsid w:val="00862181"/>
    <w:rsid w:val="00882693"/>
    <w:rsid w:val="008B335C"/>
    <w:rsid w:val="008E1F6E"/>
    <w:rsid w:val="00920C76"/>
    <w:rsid w:val="00940CB9"/>
    <w:rsid w:val="00962BA0"/>
    <w:rsid w:val="0096595D"/>
    <w:rsid w:val="009A5CF5"/>
    <w:rsid w:val="009F7D88"/>
    <w:rsid w:val="00A2412E"/>
    <w:rsid w:val="00A657BF"/>
    <w:rsid w:val="00AA0959"/>
    <w:rsid w:val="00AE189C"/>
    <w:rsid w:val="00AE7928"/>
    <w:rsid w:val="00B9628C"/>
    <w:rsid w:val="00C45258"/>
    <w:rsid w:val="00C71019"/>
    <w:rsid w:val="00DF5DFD"/>
    <w:rsid w:val="00E57058"/>
    <w:rsid w:val="00E769FE"/>
    <w:rsid w:val="00EE74DF"/>
    <w:rsid w:val="00F45B37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6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7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7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73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323</Words>
  <Characters>1843</Characters>
  <Application>Microsoft Office Word</Application>
  <DocSecurity>0</DocSecurity>
  <Lines>15</Lines>
  <Paragraphs>4</Paragraphs>
  <ScaleCrop>false</ScaleCrop>
  <Company>CHINA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lenovo</cp:lastModifiedBy>
  <cp:revision>7</cp:revision>
  <cp:lastPrinted>2020-11-26T07:40:00Z</cp:lastPrinted>
  <dcterms:created xsi:type="dcterms:W3CDTF">2020-11-25T01:41:00Z</dcterms:created>
  <dcterms:modified xsi:type="dcterms:W3CDTF">2020-11-26T07:40:00Z</dcterms:modified>
</cp:coreProperties>
</file>